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9EC18">
      <w:pPr>
        <w:keepNext w:val="0"/>
        <w:keepLines w:val="0"/>
        <w:pageBreakBefore w:val="0"/>
        <w:kinsoku/>
        <w:wordWrap/>
        <w:overflowPunct/>
        <w:topLinePunct w:val="0"/>
        <w:autoSpaceDE/>
        <w:autoSpaceDN/>
        <w:bidi w:val="0"/>
        <w:adjustRightInd/>
        <w:snapToGrid/>
        <w:spacing w:line="520" w:lineRule="exact"/>
        <w:jc w:val="left"/>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附件1</w:t>
      </w:r>
    </w:p>
    <w:p w14:paraId="654F335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bCs/>
          <w:sz w:val="44"/>
          <w:szCs w:val="44"/>
        </w:rPr>
      </w:pPr>
    </w:p>
    <w:p w14:paraId="2FB2ACE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中国机械工业教育协会 2025 年工作总结</w:t>
      </w:r>
    </w:p>
    <w:p w14:paraId="18140948">
      <w:pPr>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30"/>
          <w:szCs w:val="30"/>
        </w:rPr>
      </w:pPr>
    </w:p>
    <w:p w14:paraId="09917650">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sz w:val="30"/>
          <w:szCs w:val="30"/>
          <w:lang w:val="en-US" w:eastAsia="zh-CN"/>
        </w:rPr>
        <w:t>中国机械工业教育协会锚定 2025 年度工作计划目标，充分发挥行业教育组织的桥梁纽带作用，统筹协调各分支机构和会员单位，紧密围绕国家教育强国建设、新质生产力培育、教育高质量发展等核心政策导向，扎实推进各项工作，在服务政府决策、赋能行业升级、助力会员成长、履行社会职责等领域取得显著成效，现将 2025 年度整体工作情况总结如下：</w:t>
      </w:r>
    </w:p>
    <w:p w14:paraId="0324E310">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一、党建工作</w:t>
      </w:r>
    </w:p>
    <w:p w14:paraId="6039C9BA">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中国机械工业教育协会党支部在上级党组织领导下，以习近平新时代中国特色社会主义思想为指导，深入落实党的二十大四中全会精神，扎实推进各项党建工作，为协会发展筑牢政治根基。严格执行第一议题制度，通过集中学习、“三会一课”、专题研讨等多种形式，持续提升党员干部政治素养和理论水平。深入贯彻中央八项规定及其实施细则精神，常态化开展自查自纠与廉政警示教育，营造风清气正的干事生态。对照党建质量提升计划，完善党组织架构，顺利完成党支部换届工作，推动党建工作与业务工作深度融合，打造党建文化长廊与线上学习平台，持续巩固党组织和党的工作“两个覆盖”成果。健全党建监督制度，强化制度执行力度，加强纪检队伍建设，规范执纪问责流程，常态化开展廉政教育，为行业教育行业高质量发展提供坚强政治保障和组织保障。</w:t>
      </w:r>
    </w:p>
    <w:p w14:paraId="6B488C8A">
      <w:pPr>
        <w:keepNext w:val="0"/>
        <w:keepLines w:val="0"/>
        <w:pageBreakBefore w:val="0"/>
        <w:widowControl/>
        <w:suppressLineNumbers w:val="0"/>
        <w:kinsoku/>
        <w:wordWrap/>
        <w:overflowPunct/>
        <w:topLinePunct w:val="0"/>
        <w:autoSpaceDE/>
        <w:autoSpaceDN/>
        <w:bidi w:val="0"/>
        <w:adjustRightInd/>
        <w:snapToGrid/>
        <w:spacing w:line="460" w:lineRule="exact"/>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二、服务政府：精准献策赋能，助力政策落地​</w:t>
      </w:r>
    </w:p>
    <w:p w14:paraId="3D2A4CE3">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高等教育质量支撑。（一）圆满完成协会换届会议保障工作 成功协助中国机械工业教育协会召开第六届一次会员大会暨第六届一次理事会。分会全程统筹、精心筹备，系统开展通知发布、材料收集、文件印发、数据汇总等关键环节。累计对接77所高校及相关单位，精准联系117位会员；建立并维护参会人员微信群，及时答疑解惑，高效完成参会人员行程信息统计，为会议顺利召开提供了全流程、高标准的保障支持。会议期间，有序组织并实施分研讨会活动，确保了各环节衔接顺畅、运行高效。 （二）积极组织到企业调研 为了更好地服务企业对高等工程教育的人才需求，积极组织会员高校到企业进行调研，为提高教学质量，为企业输送高质量人才打基础。 （三）系统完善新会员信息档案管理 全面梳理中国机械工业教育协会第六届新会员信息，系统收集并核验各单位地址、法人信息、会员职务、联系方式等关键资料，建立起完整、准确的会员信息数据库。该项工作为后续会员管理、精准服务及业务对接提供了坚实的数据基础，提升了分会管理效率与服务能力。职业教育政策赋能。贯彻《教育强国建设规划纲要》，聚焦机械工业“十四五”规划，提供人才供需、专业布局等咨询建议，形成多份调研报告，助力政府制定技术技能人才培养政策，推动职教政策与行业需求精准对接。​</w:t>
      </w:r>
    </w:p>
    <w:p w14:paraId="23127C17">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技能竞赛示范引领。承办2025年全国行业职业技能竞赛，包括新能源汽车维修职业技能大赛（16省市20名选手晋级，评选 12 项奖项）和五轴操作调整工大赛（32 省市及俄罗斯共92名选手参赛，决出45项奖项），获批 2025-2028 年人社部行业竞赛项目，为技能人才队伍建设提供典型示范。</w:t>
      </w:r>
    </w:p>
    <w:p w14:paraId="68E47BD6">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产教融合机制创新。主办第二届产教科融合国际交流大会，汇聚近 300 名政行企校代表，会议成果纳入地方政策参考，为教育部产学合作协同育人项目提供实践案例，推动政策落地见效。​</w:t>
      </w:r>
    </w:p>
    <w:p w14:paraId="603CE73C">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教育标准体系建设。成立标准化技术委员会，完成首批 8 项团体标准发布工作，启动第二批 17 项立项，推动 5G、AI 等前沿技术纳入教学标准，参与 ISO 国际标准研讨，助力国家教育标准化战略实施。</w:t>
      </w:r>
    </w:p>
    <w:p w14:paraId="5B2CF2D1">
      <w:pPr>
        <w:keepNext w:val="0"/>
        <w:keepLines w:val="0"/>
        <w:pageBreakBefore w:val="0"/>
        <w:widowControl/>
        <w:suppressLineNumbers w:val="0"/>
        <w:kinsoku/>
        <w:wordWrap/>
        <w:overflowPunct/>
        <w:topLinePunct w:val="0"/>
        <w:autoSpaceDE/>
        <w:autoSpaceDN/>
        <w:bidi w:val="0"/>
        <w:adjustRightInd/>
        <w:snapToGrid/>
        <w:spacing w:line="460" w:lineRule="exact"/>
        <w:ind w:firstLine="602" w:firstLineChars="200"/>
        <w:jc w:val="left"/>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三、服务行业：聚焦提质升级，激活发展动能​</w:t>
      </w:r>
    </w:p>
    <w:p w14:paraId="29524867">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战略规划谋篇布局。5 月召开协会第六届第一次会员大会，600余 名代表参会，审议通过核心文件并完成换届选举，新任会长李强明确数字孪生、绿色制造人才培养等发展方向，助力 “中国制造向中国创造转变”。​</w:t>
      </w:r>
    </w:p>
    <w:p w14:paraId="0F536D0A">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高教改革深化推进。指导 35 个专业委员会举办 19 场教学研讨会，覆盖 200 余所高校、3500 余人次，开展 4 场教师培训覆盖 1500 余人，组织 2 项大学生创新竞赛（600 余名学生参赛），推动智能制造等领域教学创新。</w:t>
      </w:r>
    </w:p>
    <w:p w14:paraId="0426939D">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职教师资能力提升。实施 “机械行业职教师资专业能力提升计划”，建设产教融合互联网服务平台，推动 20 余所院校完成专业升级，促进产业与教育资源优化配置，提升职业院校办学能力。​</w:t>
      </w:r>
    </w:p>
    <w:p w14:paraId="2E4AAE36">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育人模式创新推广。组织示范院校考察，推广 “教学 - 实训 - 生产 - 研发” 一体化模式，策划新兴领域教师培训，推进工学一体化改革，启动重点专业教学资源包开发，建设行业级数字教学资源库。</w:t>
      </w:r>
    </w:p>
    <w:p w14:paraId="2ABDD6ED">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人才培养与科研赋能。开展 AI 应用、智能制造等主题培训，依托哈尔滨焊接技术培训中心完成 4521 人次培训，立项 115 项产教融合课题，组建 “政校企行研” 协作组，成立 “中欧智造产教协同创新共同体”。​</w:t>
      </w:r>
    </w:p>
    <w:p w14:paraId="5E7EBD98">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成功举办2025年院校行政管理工作会议（暨年会）。2025年5月17-18日院校行政管理工作委员会2025年会在扬州举行。会议是为了深入贯彻落实党的二十大历次全会精神，围绕推进院校党建与业务工作深度融合，探索教育治理体系现代化建设的主题，进行主题报告和经验交流。期间参观了当地知名企业，了解企业对人才的需求。</w:t>
      </w:r>
    </w:p>
    <w:p w14:paraId="4B4E7B52">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四、服务会员和企业：精准对接需求，赋能成长发展</w:t>
      </w:r>
      <w:r>
        <w:rPr>
          <w:rFonts w:hint="eastAsia" w:ascii="方正仿宋_GB2312" w:hAnsi="方正仿宋_GB2312" w:eastAsia="方正仿宋_GB2312" w:cs="方正仿宋_GB2312"/>
          <w:b w:val="0"/>
          <w:kern w:val="2"/>
          <w:sz w:val="30"/>
          <w:szCs w:val="30"/>
          <w:lang w:val="en-US" w:eastAsia="zh-CN" w:bidi="ar-SA"/>
        </w:rPr>
        <w:t>​</w:t>
      </w:r>
    </w:p>
    <w:p w14:paraId="1C96BBEE">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会员管理提质增效。梳理第六届新会员信息，建立完整数据库，协助召开换届大会并组织分论坛，为会员单位搭建交流合作平台，促进经验共享与项目协作。​</w:t>
      </w:r>
    </w:p>
    <w:p w14:paraId="6297C6AE">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前沿资源精准对接。通过 19 场学术会议、4 场师资培训等活动，链接高端智力资源，组织大学生创新竞赛，推动会员单位教师专业成长与学生实践能力提升，为企业输送高素质人才。​</w:t>
      </w:r>
    </w:p>
    <w:p w14:paraId="1296A098">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院校发展赋能支持。制定专业建设服务方案，推动会员院校参与先进制造产教融合项目，推广一体化育人模式，开展技能竞赛与教学成果评选，激发教学创新活力。​</w:t>
      </w:r>
    </w:p>
    <w:p w14:paraId="71A7EE79">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就业创业服务升级。举办暑期空中双选会，召开 AI 赋能就业创业研讨会，组织访企拓岗活动，开展就业工作典型案例大赛（评选 32 项奖项），促进高校毕业生高质量就业。</w:t>
      </w:r>
    </w:p>
    <w:p w14:paraId="2D56930C">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合作生态共建共享。承办多场行业专题会议，推动会员单位参与团体标准研制，40 家单位组建协作组，形成资源互补、协同发展的合作生态，提升会员行业话语权。​</w:t>
      </w:r>
    </w:p>
    <w:p w14:paraId="136A4E15">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五、服务社会：践行责任担当，赋能全面发展​</w:t>
      </w:r>
    </w:p>
    <w:p w14:paraId="5F8F8CE5">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创新人才培育输送：组织全国大学生创新竞赛，培养学生创新思维与实践能力，竞赛成果转化为多项应用案例，开展论文大赛与写作培训，推动行业技术进步与教学创新。​</w:t>
      </w:r>
    </w:p>
    <w:p w14:paraId="1D07EA3C">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思政教育与资源均衡。坚持党建引领，推动新时代中国特色社会主义思想 “三进”，开发重点专业教学资源包与数字资源库，向社会开放共享，促进教育资源均衡配置。​</w:t>
      </w:r>
    </w:p>
    <w:p w14:paraId="5B5883FA">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技能培训赋能。开展焊接、无损检测等公益性培训，覆盖 4500 余人次，推广国际证书与特殊工艺培训，提升劳动者就业竞争力，缓解行业技能人才短缺压力。​</w:t>
      </w:r>
    </w:p>
    <w:p w14:paraId="3FACA936">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德技兼备人才培育。指导开展 “一站式” 学生社区育人研讨会暨工匠精神论坛，43 所高校参与推广创新育人模式，推动 “三全育人” 实施，培育学生工匠精神与道德素养。​</w:t>
      </w:r>
    </w:p>
    <w:p w14:paraId="1B6F2F91">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学术研究成果传播。主办《大学教育科学》刊发论文 75 篇、书评 16 篇，全年转载 43 篇，C</w:t>
      </w:r>
      <w:bookmarkStart w:id="0" w:name="_GoBack"/>
      <w:bookmarkEnd w:id="0"/>
      <w:r>
        <w:rPr>
          <w:rFonts w:hint="eastAsia" w:ascii="方正仿宋_GB2312" w:hAnsi="方正仿宋_GB2312" w:eastAsia="方正仿宋_GB2312" w:cs="方正仿宋_GB2312"/>
          <w:b w:val="0"/>
          <w:kern w:val="2"/>
          <w:sz w:val="30"/>
          <w:szCs w:val="30"/>
          <w:lang w:val="en-US" w:eastAsia="zh-CN" w:bidi="ar-SA"/>
        </w:rPr>
        <w:t>I 指数达 364.830（教育类期刊第 30 位），入选 CSSCI 来源期刊，微信公众号用户超 3 万人，扩大教育研究成果传播覆盖面。</w:t>
      </w:r>
    </w:p>
    <w:p w14:paraId="7E34710F">
      <w:pPr>
        <w:keepNext w:val="0"/>
        <w:keepLines w:val="0"/>
        <w:pageBreakBefore w:val="0"/>
        <w:kinsoku/>
        <w:wordWrap/>
        <w:overflowPunct/>
        <w:topLinePunct w:val="0"/>
        <w:autoSpaceDE/>
        <w:autoSpaceDN/>
        <w:bidi w:val="0"/>
        <w:adjustRightInd/>
        <w:snapToGrid/>
        <w:spacing w:line="460" w:lineRule="exact"/>
        <w:ind w:firstLine="602" w:firstLineChars="200"/>
        <w:textAlignment w:val="auto"/>
        <w:rPr>
          <w:rFonts w:hint="eastAsia" w:ascii="方正仿宋_GB2312" w:hAnsi="方正仿宋_GB2312" w:eastAsia="方正仿宋_GB2312" w:cs="方正仿宋_GB2312"/>
          <w:b/>
          <w:bCs/>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六、会费收支情况:严守财务规范，支撑履职服务</w:t>
      </w:r>
    </w:p>
    <w:p w14:paraId="4312A348">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规范会费收缴与资金管理，专款专用、台账清晰，足额保障协会人才培育、思政建设、技能培训、学术出版等各项公益服务落地。</w:t>
      </w:r>
    </w:p>
    <w:p w14:paraId="0CED133F">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会费收入稳定归集依托会员单位分级标准缴纳，全年实现会费收入：22.9万</w:t>
      </w:r>
      <w:r>
        <w:rPr>
          <w:rFonts w:hint="eastAsia" w:ascii="方正仿宋_GB2312" w:hAnsi="方正仿宋_GB2312" w:eastAsia="方正仿宋_GB2312" w:cs="方正仿宋_GB2312"/>
          <w:b w:val="0"/>
          <w:kern w:val="2"/>
          <w:sz w:val="30"/>
          <w:szCs w:val="30"/>
          <w:lang w:val="en-US" w:eastAsia="zh-CN" w:bidi="ar-SA"/>
        </w:rPr>
        <w:t>元，支出：21.75万元，为全部业务开展提供稳定资金支撑。</w:t>
      </w:r>
    </w:p>
    <w:p w14:paraId="25EC648B">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会费用途: 建立维护协会网站费用; 协会部分工作会议补贴;协会办公场所租金、办公用品等支出; 协会工作人员出差、调研等费用;协会会员证书的印刷、购买所需费用; 日常工作邮寄费等。</w:t>
      </w:r>
    </w:p>
    <w:p w14:paraId="5CEF9979">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default" w:ascii="方正仿宋_GB2312" w:hAnsi="方正仿宋_GB2312" w:eastAsia="方正仿宋_GB2312" w:cs="方正仿宋_GB2312"/>
          <w:b w:val="0"/>
          <w:kern w:val="2"/>
          <w:sz w:val="30"/>
          <w:szCs w:val="30"/>
          <w:lang w:val="en-US" w:eastAsia="zh-CN" w:bidi="ar-SA"/>
        </w:rPr>
      </w:pPr>
      <w:r>
        <w:rPr>
          <w:rFonts w:hint="eastAsia" w:ascii="方正仿宋_GB2312" w:hAnsi="方正仿宋_GB2312" w:eastAsia="方正仿宋_GB2312" w:cs="方正仿宋_GB2312"/>
          <w:b w:val="0"/>
          <w:kern w:val="2"/>
          <w:sz w:val="30"/>
          <w:szCs w:val="30"/>
          <w:lang w:val="en-US" w:eastAsia="zh-CN" w:bidi="ar-SA"/>
        </w:rPr>
        <w:t>实行收支两条线管理，建立完整财务台账，年度收支明细定期向会员公示，接受监督核查，无违规挪用资金情况，资金使用合规高效。</w:t>
      </w:r>
    </w:p>
    <w:sectPr>
      <w:pgSz w:w="11906" w:h="16838"/>
      <w:pgMar w:top="1440" w:right="1310" w:bottom="1134" w:left="131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2">
      <wne:acd wne:acdName="acd0"/>
    </wne:keymap>
  </wne:keymaps>
  <wne:acds>
    <wne:acd wne:argValue="AQAAAAI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01CD01F6-D8B5-418A-9A9B-CAB505A7CEC3}"/>
  </w:font>
  <w:font w:name="方正小标宋_GBK">
    <w:panose1 w:val="02000000000000000000"/>
    <w:charset w:val="86"/>
    <w:family w:val="auto"/>
    <w:pitch w:val="default"/>
    <w:sig w:usb0="A00002BF" w:usb1="38CF7CFA" w:usb2="00082016" w:usb3="00000000" w:csb0="00040001" w:csb1="00000000"/>
    <w:embedRegular r:id="rId2" w:fontKey="{854573A0-49E6-49BE-994A-56B2897560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5A092"/>
    <w:multiLevelType w:val="multilevel"/>
    <w:tmpl w:val="D085A09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10197"/>
    <w:rsid w:val="0E8A4288"/>
    <w:rsid w:val="0F0C0705"/>
    <w:rsid w:val="10684F66"/>
    <w:rsid w:val="130F4DA0"/>
    <w:rsid w:val="182F204B"/>
    <w:rsid w:val="3065356A"/>
    <w:rsid w:val="40EF7D97"/>
    <w:rsid w:val="420F79E2"/>
    <w:rsid w:val="4EE62084"/>
    <w:rsid w:val="502A58C2"/>
    <w:rsid w:val="52C36528"/>
    <w:rsid w:val="57517B92"/>
    <w:rsid w:val="5F9A7BFD"/>
    <w:rsid w:val="640A1533"/>
    <w:rsid w:val="67832249"/>
    <w:rsid w:val="67D22629"/>
    <w:rsid w:val="68386205"/>
    <w:rsid w:val="7721169A"/>
    <w:rsid w:val="794F0342"/>
    <w:rsid w:val="7F88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link w:val="13"/>
    <w:semiHidden/>
    <w:unhideWhenUsed/>
    <w:qFormat/>
    <w:uiPriority w:val="0"/>
    <w:pPr>
      <w:numPr>
        <w:ilvl w:val="1"/>
        <w:numId w:val="1"/>
      </w:numPr>
      <w:spacing w:before="120" w:after="120"/>
      <w:ind w:left="575" w:leftChars="0" w:hanging="575" w:firstLineChars="0"/>
      <w:jc w:val="left"/>
      <w:outlineLvl w:val="1"/>
    </w:pPr>
    <w:rPr>
      <w:rFonts w:ascii="仿宋" w:hAnsi="仿宋" w:eastAsia="仿宋" w:cstheme="majorBidi"/>
      <w:b/>
      <w:bCs/>
      <w:sz w:val="3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2 Char"/>
    <w:basedOn w:val="12"/>
    <w:link w:val="3"/>
    <w:autoRedefine/>
    <w:qFormat/>
    <w:uiPriority w:val="9"/>
    <w:rPr>
      <w:rFonts w:ascii="仿宋" w:hAnsi="仿宋" w:eastAsia="仿宋"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3036</Words>
  <Characters>3137</Characters>
  <Lines>0</Lines>
  <Paragraphs>0</Paragraphs>
  <TotalTime>7</TotalTime>
  <ScaleCrop>false</ScaleCrop>
  <LinksUpToDate>false</LinksUpToDate>
  <CharactersWithSpaces>3239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2024-02-19T14:48:00Z</dcterms:created>
  <dc:creator>86158</dc:creator>
  <cp:lastModifiedBy>教育亚琴</cp:lastModifiedBy>
  <cp:lastPrinted>2026-06-28T10:05:00Z</cp:lastPrinted>
  <dcterms:modified xsi:type="dcterms:W3CDTF">2026-06-28T10:47:59Z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F3EC46441456403596849C8629B39A0B_13</vt:lpwstr>
  </property>
  <property fmtid="{D5CDD505-2E9C-101B-9397-08002B2CF9AE}" pid="4" name="KSOTemplateDocerSaveRecord">
    <vt:lpwstr>eyJoZGlkIjoiMGI4MzRlYmQwOWIxMGNjM2Y2MjFkZjNjYzBlMTM3ZTEiLCJ1c2VySWQiOiI1NDI5MDY4NzAifQ==</vt:lpwstr>
  </property>
</Properties>
</file>